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AC170" w14:textId="77777777" w:rsidR="00175C3A" w:rsidRPr="00226305" w:rsidRDefault="00175C3A" w:rsidP="00175C3A">
      <w:pPr>
        <w:spacing w:before="240"/>
        <w:ind w:firstLineChars="100" w:firstLine="281"/>
        <w:jc w:val="center"/>
        <w:rPr>
          <w:rFonts w:ascii="Times New Roman" w:hAnsi="Times New Roman" w:cs="Times New Roman"/>
          <w:sz w:val="28"/>
          <w:szCs w:val="28"/>
        </w:rPr>
      </w:pPr>
      <w:r w:rsidRPr="00226305">
        <w:rPr>
          <w:rFonts w:ascii="Times New Roman" w:hAnsi="Times New Roman" w:cs="Times New Roman"/>
          <w:b/>
          <w:sz w:val="28"/>
          <w:szCs w:val="28"/>
        </w:rPr>
        <w:t>Table 1</w:t>
      </w:r>
      <w:r w:rsidRPr="00226305">
        <w:rPr>
          <w:rFonts w:ascii="Times New Roman" w:hAnsi="Times New Roman" w:cs="Times New Roman"/>
          <w:sz w:val="28"/>
          <w:szCs w:val="28"/>
        </w:rPr>
        <w:t xml:space="preserve"> Summary information on the 20 linkage groups (LGs) detected in this study</w:t>
      </w:r>
    </w:p>
    <w:tbl>
      <w:tblPr>
        <w:tblW w:w="7720" w:type="dxa"/>
        <w:jc w:val="center"/>
        <w:tblLook w:val="04A0" w:firstRow="1" w:lastRow="0" w:firstColumn="1" w:lastColumn="0" w:noHBand="0" w:noVBand="1"/>
      </w:tblPr>
      <w:tblGrid>
        <w:gridCol w:w="960"/>
        <w:gridCol w:w="1060"/>
        <w:gridCol w:w="1060"/>
        <w:gridCol w:w="980"/>
        <w:gridCol w:w="1840"/>
        <w:gridCol w:w="1820"/>
      </w:tblGrid>
      <w:tr w:rsidR="00175C3A" w:rsidRPr="00226305" w14:paraId="7E525199" w14:textId="77777777" w:rsidTr="00A23660">
        <w:trPr>
          <w:trHeight w:val="7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DBA72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939B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 markers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92A7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 distance (</w:t>
            </w: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cM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F7F3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average distance (</w:t>
            </w: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cM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3FFBE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Max inter-marker distance (</w:t>
            </w: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cM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AEC89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inter-markers distances</w:t>
            </w:r>
            <w:r w:rsidRPr="00226305">
              <w:rPr>
                <w:rFonts w:ascii="SimSun" w:eastAsia="SimSun" w:hAnsi="SimSun" w:cs="Times New Roman" w:hint="eastAsia"/>
                <w:color w:val="000000"/>
                <w:kern w:val="0"/>
                <w:szCs w:val="21"/>
              </w:rPr>
              <w:t>≤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175C3A" w:rsidRPr="00226305" w14:paraId="64FD37C2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1476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C243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180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94.98 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6E50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0.58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C674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4.26 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3CC3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98.78%</w:t>
            </w:r>
          </w:p>
        </w:tc>
      </w:tr>
      <w:tr w:rsidR="00175C3A" w:rsidRPr="00226305" w14:paraId="45CBEA50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040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CE9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8649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83.88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805D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F52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2.27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DB02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2FBCCC3D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8DB9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D62F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9494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135.61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376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9D9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2.54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9CF9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64D9D563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3FC7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9B6A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FFDF4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111.21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E4DB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0.66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8115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6.33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0DD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98.21%</w:t>
            </w:r>
          </w:p>
        </w:tc>
      </w:tr>
      <w:tr w:rsidR="00175C3A" w:rsidRPr="00226305" w14:paraId="064E9219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C2BB5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5721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6535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75.76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8F86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EF9D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3.96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3DB3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99.48%</w:t>
            </w:r>
          </w:p>
        </w:tc>
      </w:tr>
      <w:tr w:rsidR="00175C3A" w:rsidRPr="00226305" w14:paraId="7A551737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781E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627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34A6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129.82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A0C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0.65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A43B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16.06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4B79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97.50%</w:t>
            </w:r>
          </w:p>
        </w:tc>
      </w:tr>
      <w:tr w:rsidR="00175C3A" w:rsidRPr="00226305" w14:paraId="1A552175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8B9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1294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A674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88.20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A109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0.52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BA1C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2.54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98A2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1B7C83F8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13695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7CAF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35C7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109.86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E6A04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0.52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5E4C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5.35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7AC6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99.52%</w:t>
            </w:r>
          </w:p>
        </w:tc>
      </w:tr>
      <w:tr w:rsidR="00175C3A" w:rsidRPr="00226305" w14:paraId="40DFF1C2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F7134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880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D7C94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94.31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0F78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5736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2.82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787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66C10EDD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A68A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EC6C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DC6B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75.41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552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0.47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62CE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1.74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5BBC4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15574F0A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42B2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213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357A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61.81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7C0B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0.48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84AB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3.39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68D4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99.22%</w:t>
            </w:r>
          </w:p>
        </w:tc>
      </w:tr>
      <w:tr w:rsidR="00175C3A" w:rsidRPr="00226305" w14:paraId="01F5144B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FEF7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2E1A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993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72.90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9C37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0.41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D98A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1.74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7383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06C91C21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8211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A50C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93EC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110.15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A2E6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0.46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5A7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6550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5F30BE79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8DA0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452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A05D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82.88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F020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0.44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E19E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2.14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50F8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76F83702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166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03D3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520D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91.81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DAC3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49E9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2.41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59E5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14E836AD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4BE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3A04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8A8F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54.58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62DF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0.42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F609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2.27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82E6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3FE738AD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652D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646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91915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97.78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422C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71892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2.68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6383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175C3A" w:rsidRPr="00226305" w14:paraId="421D9C57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09C9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21BB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D2D9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74.99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9EC7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0.52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1746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3.39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CB30D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98.60%</w:t>
            </w:r>
          </w:p>
        </w:tc>
      </w:tr>
      <w:tr w:rsidR="00175C3A" w:rsidRPr="00226305" w14:paraId="7FA92093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038C4D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LG19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2A2AF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BFC43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96.90 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D63995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0.53 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6BE24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3.39 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D536E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98.90%</w:t>
            </w:r>
          </w:p>
        </w:tc>
      </w:tr>
      <w:tr w:rsidR="00175C3A" w:rsidRPr="00226305" w14:paraId="09E37A67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3989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LG20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2D0EC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5BA51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75.07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95AF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0.51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38FA6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3.67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A8595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99.32%</w:t>
            </w:r>
          </w:p>
        </w:tc>
      </w:tr>
      <w:tr w:rsidR="00175C3A" w:rsidRPr="00226305" w14:paraId="2F0BEB71" w14:textId="77777777" w:rsidTr="00A23660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DB69A7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711A4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3634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095A1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1817.91 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1D16DA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0.50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A68AF4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D1A250B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77541CB9" w14:textId="77777777" w:rsidR="00175C3A" w:rsidRPr="00226305" w:rsidRDefault="00175C3A" w:rsidP="00175C3A">
      <w:pPr>
        <w:spacing w:before="240"/>
        <w:rPr>
          <w:rFonts w:ascii="Times New Roman" w:hAnsi="Times New Roman" w:cs="Times New Roman"/>
          <w:b/>
          <w:szCs w:val="21"/>
        </w:rPr>
      </w:pPr>
    </w:p>
    <w:p w14:paraId="70DEDAC4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  <w:sectPr w:rsidR="00175C3A" w:rsidRPr="0022630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7B9142" w14:textId="77777777" w:rsidR="00175C3A" w:rsidRPr="00226305" w:rsidRDefault="00175C3A" w:rsidP="00175C3A">
      <w:pPr>
        <w:ind w:right="420" w:firstLineChars="150" w:firstLine="422"/>
        <w:jc w:val="center"/>
        <w:rPr>
          <w:rFonts w:ascii="Times New Roman" w:hAnsi="Times New Roman" w:cs="Times New Roman"/>
          <w:sz w:val="28"/>
          <w:szCs w:val="28"/>
        </w:rPr>
      </w:pPr>
      <w:r w:rsidRPr="0022630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Table </w:t>
      </w:r>
      <w:r w:rsidRPr="00226305">
        <w:rPr>
          <w:rFonts w:ascii="Times New Roman" w:hAnsi="Times New Roman" w:cs="Times New Roman" w:hint="eastAsia"/>
          <w:b/>
          <w:sz w:val="28"/>
          <w:szCs w:val="28"/>
        </w:rPr>
        <w:t>2</w:t>
      </w:r>
      <w:r w:rsidRPr="00226305">
        <w:rPr>
          <w:rFonts w:ascii="Times New Roman" w:hAnsi="Times New Roman" w:cs="Times New Roman" w:hint="eastAsia"/>
          <w:sz w:val="28"/>
          <w:szCs w:val="28"/>
        </w:rPr>
        <w:t xml:space="preserve"> Quantitative trait loci (QTL</w:t>
      </w:r>
      <w:r w:rsidRPr="00226305">
        <w:rPr>
          <w:rFonts w:ascii="Times New Roman" w:hAnsi="Times New Roman" w:cs="Times New Roman"/>
          <w:sz w:val="28"/>
          <w:szCs w:val="28"/>
        </w:rPr>
        <w:t>s</w:t>
      </w:r>
      <w:r w:rsidRPr="00226305">
        <w:rPr>
          <w:rFonts w:ascii="Times New Roman" w:hAnsi="Times New Roman" w:cs="Times New Roman" w:hint="eastAsia"/>
          <w:sz w:val="28"/>
          <w:szCs w:val="28"/>
        </w:rPr>
        <w:t>) for peanut web blotch resistance identified</w:t>
      </w:r>
      <w:r w:rsidRPr="00226305">
        <w:rPr>
          <w:rFonts w:ascii="Times New Roman" w:hAnsi="Times New Roman" w:cs="Times New Roman"/>
          <w:sz w:val="28"/>
          <w:szCs w:val="28"/>
        </w:rPr>
        <w:t xml:space="preserve"> in this study</w:t>
      </w:r>
    </w:p>
    <w:tbl>
      <w:tblPr>
        <w:tblW w:w="13030" w:type="dxa"/>
        <w:jc w:val="center"/>
        <w:tblLook w:val="04A0" w:firstRow="1" w:lastRow="0" w:firstColumn="1" w:lastColumn="0" w:noHBand="0" w:noVBand="1"/>
      </w:tblPr>
      <w:tblGrid>
        <w:gridCol w:w="1291"/>
        <w:gridCol w:w="595"/>
        <w:gridCol w:w="1556"/>
        <w:gridCol w:w="3100"/>
        <w:gridCol w:w="1177"/>
        <w:gridCol w:w="1129"/>
        <w:gridCol w:w="1252"/>
        <w:gridCol w:w="3100"/>
      </w:tblGrid>
      <w:tr w:rsidR="00175C3A" w:rsidRPr="00226305" w14:paraId="0C29100C" w14:textId="77777777" w:rsidTr="00A23660">
        <w:trPr>
          <w:trHeight w:val="300"/>
          <w:jc w:val="center"/>
        </w:trPr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054CA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QTL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18B9F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LG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61C1D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Pos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 xml:space="preserve">ition 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cM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17E13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Left-Right Marker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E43FE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LOD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33DB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PVE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% 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46D08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Add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 xml:space="preserve"> effects</w:t>
            </w:r>
          </w:p>
        </w:tc>
        <w:tc>
          <w:tcPr>
            <w:tcW w:w="3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77890" w14:textId="77777777" w:rsidR="00175C3A" w:rsidRPr="00226305" w:rsidRDefault="00175C3A" w:rsidP="00A236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Environment</w:t>
            </w:r>
          </w:p>
        </w:tc>
      </w:tr>
      <w:tr w:rsidR="00175C3A" w:rsidRPr="00226305" w14:paraId="22B9227A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46D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A5E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A03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9705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29.84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627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Chr3_bin366-Chr3_bin367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A22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3.48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~5.37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A96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7.4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~11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.0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817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0.21~5.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1F1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2007, 2008, 2012</w:t>
            </w:r>
          </w:p>
        </w:tc>
      </w:tr>
      <w:tr w:rsidR="00175C3A" w:rsidRPr="00226305" w14:paraId="1C24ADEC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5E7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B5C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A04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815D" w14:textId="77777777" w:rsidR="00175C3A" w:rsidRPr="00226305" w:rsidRDefault="00175C3A" w:rsidP="00A23660">
            <w:pPr>
              <w:widowControl/>
              <w:ind w:right="33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110.17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A01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Chr4_bin756-Chr4_bin757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050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2.35~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7.45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840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.0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~1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.1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3B3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-8.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29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~-0.15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460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2007, 2008, 2012, 2018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, 2018</w:t>
            </w:r>
            <w:r w:rsidRPr="002263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  <w:vertAlign w:val="superscript"/>
              </w:rPr>
              <w:t>φ</w:t>
            </w:r>
          </w:p>
        </w:tc>
      </w:tr>
      <w:tr w:rsidR="00175C3A" w:rsidRPr="00226305" w14:paraId="1CAF34A5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0AB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732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A05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D3D2" w14:textId="77777777" w:rsidR="00175C3A" w:rsidRPr="00226305" w:rsidRDefault="00175C3A" w:rsidP="00A23660">
            <w:pPr>
              <w:widowControl/>
              <w:ind w:right="4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 xml:space="preserve">   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F6A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Chr5_bin760-Chr5_bin761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5CE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2.88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3.2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DE6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6.9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~8.8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8A8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-6.1~-5.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367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2012, 2018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φ</w:t>
            </w:r>
          </w:p>
        </w:tc>
      </w:tr>
      <w:tr w:rsidR="00175C3A" w:rsidRPr="00226305" w14:paraId="3AD9437B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676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81A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A13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AADB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64.06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361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Chr13_bin2385-Chr13_bin2386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32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1.88~3.86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7CA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.0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~8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.0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D8F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-5.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32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~-0.15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CAA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2007, 2008, 2012, 2018*</w:t>
            </w:r>
          </w:p>
        </w:tc>
      </w:tr>
      <w:tr w:rsidR="00175C3A" w:rsidRPr="00226305" w14:paraId="6AF06055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A53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1F8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A14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2AC6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82.88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D8A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Chr14_bin2746-Chr14_bin2747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652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1.32~4.08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E8F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2.8~11.2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881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-6.9~-.011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F38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2007, 2008, 2012, 2018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, 2018</w:t>
            </w:r>
            <w:r w:rsidRPr="002263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  <w:vertAlign w:val="superscript"/>
              </w:rPr>
              <w:t>φ</w:t>
            </w:r>
          </w:p>
        </w:tc>
      </w:tr>
      <w:tr w:rsidR="00175C3A" w:rsidRPr="00226305" w14:paraId="2C562067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7D3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576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A16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5793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41.84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629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Chr16_bin3084-Chr16_bin3085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146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2.16~3.1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68F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5.5~6.7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F37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0.18~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5.51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F71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2008, 2012, 2018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φ</w:t>
            </w:r>
          </w:p>
        </w:tc>
      </w:tr>
      <w:tr w:rsidR="00175C3A" w:rsidRPr="00226305" w14:paraId="4E00AC9D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D57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7CC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A17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38B6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45.25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641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Chr17_bin3253-Chr17_bin3254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05F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3.33~4.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003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7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.0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~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F5A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0.21~</w:t>
            </w:r>
            <w:r w:rsidRPr="00226305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6.83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DFE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2008, 2012, 2018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175C3A" w:rsidRPr="00226305" w14:paraId="562567EA" w14:textId="77777777" w:rsidTr="00A23660">
        <w:trPr>
          <w:trHeight w:val="454"/>
          <w:jc w:val="center"/>
        </w:trPr>
        <w:tc>
          <w:tcPr>
            <w:tcW w:w="12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AE63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i/>
                <w:color w:val="000000"/>
                <w:kern w:val="0"/>
                <w:sz w:val="22"/>
              </w:rPr>
              <w:t>qWBRA19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F9EE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A19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F0D15" w14:textId="77777777" w:rsidR="00175C3A" w:rsidRPr="00226305" w:rsidRDefault="00175C3A" w:rsidP="00A23660">
            <w:pPr>
              <w:widowControl/>
              <w:ind w:right="440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94.09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5B57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Chr19_bin3690-Chr19_bin3691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FAA7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1.93~3.03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A6F7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4.1~6.4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30DD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-2.22~-0.13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689E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2007, 2008, 2018</w:t>
            </w: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</w:tbl>
    <w:p w14:paraId="741065A7" w14:textId="77777777" w:rsidR="00175C3A" w:rsidRPr="00226305" w:rsidRDefault="00175C3A" w:rsidP="00175C3A">
      <w:pPr>
        <w:ind w:firstLineChars="200" w:firstLine="420"/>
        <w:rPr>
          <w:rFonts w:ascii="Times New Roman" w:hAnsi="Times New Roman" w:cs="Times New Roman"/>
          <w:noProof/>
        </w:rPr>
      </w:pPr>
      <w:r w:rsidRPr="00226305">
        <w:rPr>
          <w:rFonts w:ascii="Times New Roman" w:hAnsi="Times New Roman" w:cs="Times New Roman"/>
          <w:noProof/>
        </w:rPr>
        <w:t>2018*stands for field, 2018</w:t>
      </w:r>
      <w:r w:rsidRPr="00226305">
        <w:rPr>
          <w:rFonts w:ascii="Times New Roman" w:hAnsi="Times New Roman" w:cs="Times New Roman"/>
          <w:noProof/>
          <w:vertAlign w:val="superscript"/>
        </w:rPr>
        <w:t>φ</w:t>
      </w:r>
      <w:r w:rsidRPr="00226305">
        <w:rPr>
          <w:rFonts w:ascii="Times New Roman" w:hAnsi="Times New Roman" w:cs="Times New Roman"/>
          <w:noProof/>
        </w:rPr>
        <w:t xml:space="preserve"> stands for indoor</w:t>
      </w:r>
    </w:p>
    <w:p w14:paraId="3418BC38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</w:pPr>
    </w:p>
    <w:p w14:paraId="33F97042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</w:pPr>
    </w:p>
    <w:p w14:paraId="03546B7F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</w:pPr>
    </w:p>
    <w:p w14:paraId="58ACA09B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</w:pPr>
    </w:p>
    <w:p w14:paraId="719A405C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</w:pPr>
    </w:p>
    <w:p w14:paraId="45A40966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szCs w:val="21"/>
        </w:rPr>
        <w:sectPr w:rsidR="00175C3A" w:rsidRPr="00226305" w:rsidSect="00D56A9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109712F" w14:textId="77777777" w:rsidR="00175C3A" w:rsidRPr="00226305" w:rsidRDefault="00175C3A" w:rsidP="00175C3A">
      <w:pPr>
        <w:spacing w:line="100" w:lineRule="atLeast"/>
        <w:ind w:left="1077" w:hangingChars="447" w:hanging="1077"/>
        <w:jc w:val="center"/>
        <w:rPr>
          <w:rFonts w:ascii="Times New Roman" w:hAnsi="Times New Roman" w:cs="Times New Roman"/>
          <w:i/>
          <w:noProof/>
          <w:sz w:val="24"/>
          <w:szCs w:val="24"/>
        </w:rPr>
      </w:pPr>
      <w:r w:rsidRPr="00226305"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t>Table 3</w:t>
      </w:r>
      <w:r w:rsidRPr="0022630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Pr="00226305">
        <w:rPr>
          <w:rFonts w:ascii="Times New Roman" w:hAnsi="Times New Roman" w:cs="Times New Roman"/>
          <w:noProof/>
          <w:sz w:val="24"/>
          <w:szCs w:val="24"/>
        </w:rPr>
        <w:t>C</w:t>
      </w:r>
      <w:r w:rsidRPr="00226305">
        <w:rPr>
          <w:rFonts w:ascii="Times New Roman" w:hAnsi="Times New Roman" w:cs="Times New Roman" w:hint="eastAsia"/>
          <w:noProof/>
          <w:sz w:val="24"/>
          <w:szCs w:val="24"/>
        </w:rPr>
        <w:t xml:space="preserve">andidate genes for peanut web blotch resistance in the region of </w:t>
      </w:r>
      <w:r w:rsidRPr="00226305">
        <w:rPr>
          <w:rFonts w:ascii="Times New Roman" w:hAnsi="Times New Roman" w:cs="Times New Roman"/>
          <w:i/>
          <w:noProof/>
          <w:sz w:val="24"/>
          <w:szCs w:val="24"/>
        </w:rPr>
        <w:t>qWBRA04</w:t>
      </w:r>
      <w:r w:rsidRPr="002263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26305">
        <w:rPr>
          <w:rFonts w:ascii="Times New Roman" w:hAnsi="Times New Roman" w:cs="Times New Roman" w:hint="eastAsia"/>
          <w:noProof/>
          <w:sz w:val="24"/>
          <w:szCs w:val="24"/>
        </w:rPr>
        <w:t xml:space="preserve">and </w:t>
      </w:r>
      <w:r w:rsidRPr="00226305">
        <w:rPr>
          <w:rFonts w:ascii="Times New Roman" w:hAnsi="Times New Roman" w:cs="Times New Roman"/>
          <w:i/>
          <w:noProof/>
          <w:sz w:val="24"/>
          <w:szCs w:val="24"/>
        </w:rPr>
        <w:t>qWBRA14</w:t>
      </w:r>
    </w:p>
    <w:tbl>
      <w:tblPr>
        <w:tblpPr w:leftFromText="180" w:rightFromText="180" w:vertAnchor="text" w:horzAnchor="page" w:tblpXSpec="center" w:tblpY="170"/>
        <w:tblW w:w="5000" w:type="pct"/>
        <w:tblLayout w:type="fixed"/>
        <w:tblLook w:val="04A0" w:firstRow="1" w:lastRow="0" w:firstColumn="1" w:lastColumn="0" w:noHBand="0" w:noVBand="1"/>
      </w:tblPr>
      <w:tblGrid>
        <w:gridCol w:w="1766"/>
        <w:gridCol w:w="3318"/>
        <w:gridCol w:w="4838"/>
      </w:tblGrid>
      <w:tr w:rsidR="00175C3A" w:rsidRPr="00226305" w14:paraId="1ED7956A" w14:textId="77777777" w:rsidTr="00A23660">
        <w:trPr>
          <w:trHeight w:val="288"/>
        </w:trPr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7FDD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Gene model </w:t>
            </w:r>
          </w:p>
        </w:tc>
        <w:tc>
          <w:tcPr>
            <w:tcW w:w="1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17B1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Gene Location</w:t>
            </w:r>
          </w:p>
        </w:tc>
        <w:tc>
          <w:tcPr>
            <w:tcW w:w="24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D043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Annotation</w:t>
            </w:r>
          </w:p>
        </w:tc>
      </w:tr>
      <w:tr w:rsidR="00175C3A" w:rsidRPr="00226305" w14:paraId="6E86F293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B87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Arahy.Q7VTCQ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30A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Arahy.04:125904648-125913229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8A8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CC-NBS-LRR</w:t>
            </w:r>
          </w:p>
        </w:tc>
      </w:tr>
      <w:tr w:rsidR="00175C3A" w:rsidRPr="00226305" w14:paraId="582D4B70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E9D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Arahy.SK6LYR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B4E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Arahy.04:125919867-125922353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70F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5449C234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E41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Arahy.9YX67Z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855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Arahy.04:125933796-125935754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5B2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CC-NBS-LRR</w:t>
            </w:r>
          </w:p>
        </w:tc>
      </w:tr>
      <w:tr w:rsidR="00175C3A" w:rsidRPr="00226305" w14:paraId="5BCC7570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396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Arahy.1RZ0PJ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0F9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Arahy.04:125978283-125982796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FDC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53D6E05F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21B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Arahy.MR7539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C6D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Arahy.14:140429517-140433390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2F7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7CE14A10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700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Arahy.5JS28N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B73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Arahy.14:140673363-140675200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2CD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51B87B5B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4D1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Arahy.098P1D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0A6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Arahy.14:140716472-140720198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0C7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3E0D00A9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3B4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Arahy.B7IYCZ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2DB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Arahy.14:140737488-140743003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9E0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74023AA8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261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Arahy.GQ7H4X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14C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Arahy.14:140748678-140752470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115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2331BE27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345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Arahy.KRT76W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E55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Arahy.14:140775690-140779279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449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08A66FCA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B69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Arahy.ARVN7W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58D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Arahy.14:140932228-140936295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A48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Ethylene-responsive transcription factor 1B</w:t>
            </w:r>
          </w:p>
        </w:tc>
      </w:tr>
      <w:tr w:rsidR="00175C3A" w:rsidRPr="00226305" w14:paraId="40D8EDE7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5A5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Arahy.QC7JPT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CFA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Arahy.14:140964016-140967594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5D9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MYB/SANT-like DNA-binding domain protein</w:t>
            </w:r>
          </w:p>
        </w:tc>
      </w:tr>
      <w:tr w:rsidR="00175C3A" w:rsidRPr="00226305" w14:paraId="55CDEB84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896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Arahy.ULYV8E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80D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Arahy.14:141015920-141031728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E5E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E3 ubiquitin protein ligase DRIP2-like</w:t>
            </w:r>
          </w:p>
        </w:tc>
      </w:tr>
      <w:tr w:rsidR="00175C3A" w:rsidRPr="00226305" w14:paraId="272EB8DC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18E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Arahy.M6XMZZ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D3C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Arahy.14:141138899-141141424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3C0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5F8B644C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863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Arahy.GF38LY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ECD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Arahy.14:141242234-141244304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BDC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6189255A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96F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Arahy.Z4PSSR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70E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Arahy.14:141280146-141281153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431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0C89ED3D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D00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Arahy.38PKYC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E5C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Arahy.14:141292017-141295699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BEF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19C35D7F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F90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Arahy.3HI1A9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606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Arahy.14:141393957-141398159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279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3B5D9EE8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921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Arahy.6V6NN7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B56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Arahy.14:141400695-141406643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099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0FB03DAA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003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Arahy.1B47VV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71A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Arahy.14:141409110-141411145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29E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LRR and NB-ARC domain disease resistance protein</w:t>
            </w:r>
          </w:p>
        </w:tc>
      </w:tr>
      <w:tr w:rsidR="00175C3A" w:rsidRPr="00226305" w14:paraId="4F2AB4B0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65D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Arahy.UDNB1T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F29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Arahy.14:141411916-141413951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976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LRR and NB-ARC domain disease resistance protein</w:t>
            </w:r>
          </w:p>
        </w:tc>
      </w:tr>
      <w:tr w:rsidR="00175C3A" w:rsidRPr="00226305" w14:paraId="69DECA25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AA3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Arahy.1VN7JI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D77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Arahy.14:141416418-141422328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02F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0361A90B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D66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Arahy.D05D8X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8CB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Arahy.14:141438610-141439200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BA5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 RPP13-like</w:t>
            </w:r>
          </w:p>
        </w:tc>
      </w:tr>
      <w:tr w:rsidR="00175C3A" w:rsidRPr="00226305" w14:paraId="76400825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C8E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Arahy.5TMH4E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7A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Arahy.14:141431509-141437763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EDA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034CDC6E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6EC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Arahy.NA6KD0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7B2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Arahy.14:141445227-141450684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0746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22B3A58C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0CD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Arahy.WD8J75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E29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Arahy.14:141458141-141462928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362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4BA081F1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B49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Arahy.UZFH7Q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D32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Arahy.14:141463237-141467397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9E5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78B776FD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CA9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Arahy.5MNM78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42F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Arahy.14:141468339-141471341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F3B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540FF8AE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BB0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Arahy.5MNM78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C8D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Arahy.14:141468339-141471341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B1C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6C16553D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1FC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Arahy.388Y5C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C73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Arahy.14:141508791-141512359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C80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6EEFC02B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000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Arahy.M9HGBQ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7BA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Arahy.14:141514206-141520849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0DA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bZIP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transcription factor</w:t>
            </w:r>
          </w:p>
        </w:tc>
      </w:tr>
      <w:tr w:rsidR="00175C3A" w:rsidRPr="00226305" w14:paraId="07BBA433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1F3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Arahy.BJT98M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5D7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Arahy.14:141539637-141544390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BD9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WRKY transcription factor-like protein</w:t>
            </w:r>
          </w:p>
        </w:tc>
      </w:tr>
      <w:tr w:rsidR="00175C3A" w:rsidRPr="00226305" w14:paraId="223BDEEC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F78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Arahy.EDAK6K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601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Arahy.14:141674291-141674683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49D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CC-NBS-LRR</w:t>
            </w:r>
          </w:p>
        </w:tc>
      </w:tr>
      <w:tr w:rsidR="00175C3A" w:rsidRPr="00226305" w14:paraId="64B795E2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D13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Arahy.RZ4S3T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D76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Arahy.14:141672176-141674272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CC6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6AD345CC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F2B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Arahy.QH59CH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3AB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Arahy.14:141683064-141685622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19A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7DF145D4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9D5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Arahy.GM4B0I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102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Arahy.14:141689106-141691574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9F4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72EEF946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D5B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Arahy.U06TWT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D4E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Arahy.14:141696720-141699293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319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2FFF4D8A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D6D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Arahy.8I61S0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928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Arahy.14:141708397-141711939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32A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49505818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750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Arahy.ZY30Q0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96B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Arahy.14:141719033-141719888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E0D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 protein</w:t>
            </w:r>
          </w:p>
        </w:tc>
      </w:tr>
      <w:tr w:rsidR="00175C3A" w:rsidRPr="00226305" w14:paraId="5157750A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6F3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Arahy.N7WF48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F99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Arahy.14:141789316-141794004 </w:t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6F5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TCP7 transcription factor</w:t>
            </w:r>
          </w:p>
        </w:tc>
      </w:tr>
      <w:tr w:rsidR="00175C3A" w:rsidRPr="00226305" w14:paraId="09A414F2" w14:textId="77777777" w:rsidTr="00A23660">
        <w:trPr>
          <w:trHeight w:val="288"/>
        </w:trPr>
        <w:tc>
          <w:tcPr>
            <w:tcW w:w="8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1DF4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Arahy.QA8QB9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F1D5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Arahy.14:143064164-143068579 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5E3E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E3 ubiquitin-protein ligase</w:t>
            </w:r>
          </w:p>
        </w:tc>
      </w:tr>
    </w:tbl>
    <w:p w14:paraId="76C43218" w14:textId="77777777" w:rsidR="00175C3A" w:rsidRPr="00226305" w:rsidRDefault="00175C3A" w:rsidP="00175C3A">
      <w:pPr>
        <w:spacing w:before="240" w:after="240"/>
        <w:rPr>
          <w:rFonts w:ascii="Times New Roman" w:hAnsi="Times New Roman" w:cs="Times New Roman"/>
          <w:b/>
          <w:szCs w:val="21"/>
        </w:rPr>
        <w:sectPr w:rsidR="00175C3A" w:rsidRPr="00226305" w:rsidSect="001E08A0">
          <w:pgSz w:w="11906" w:h="16838"/>
          <w:pgMar w:top="1440" w:right="566" w:bottom="1440" w:left="1418" w:header="851" w:footer="992" w:gutter="0"/>
          <w:cols w:space="425"/>
          <w:docGrid w:type="lines" w:linePitch="312"/>
        </w:sectPr>
      </w:pPr>
    </w:p>
    <w:p w14:paraId="5FC2CD09" w14:textId="77777777" w:rsidR="00175C3A" w:rsidRPr="00226305" w:rsidRDefault="00175C3A" w:rsidP="00175C3A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226305">
        <w:rPr>
          <w:rFonts w:ascii="Times New Roman" w:hAnsi="Times New Roman" w:cs="Times New Roman" w:hint="eastAsia"/>
          <w:b/>
          <w:noProof/>
          <w:sz w:val="28"/>
          <w:szCs w:val="28"/>
        </w:rPr>
        <w:lastRenderedPageBreak/>
        <w:t xml:space="preserve">Table 4 </w:t>
      </w:r>
      <w:r w:rsidRPr="00226305">
        <w:rPr>
          <w:rFonts w:ascii="Times New Roman" w:hAnsi="Times New Roman" w:cs="Times New Roman" w:hint="eastAsia"/>
          <w:noProof/>
          <w:sz w:val="28"/>
          <w:szCs w:val="28"/>
        </w:rPr>
        <w:t xml:space="preserve">Candidate genes for peanut web blotch resistance </w:t>
      </w:r>
      <w:r w:rsidRPr="00226305">
        <w:rPr>
          <w:rFonts w:ascii="Times New Roman" w:hAnsi="Times New Roman" w:cs="Times New Roman"/>
          <w:noProof/>
          <w:sz w:val="28"/>
          <w:szCs w:val="28"/>
        </w:rPr>
        <w:t>in the</w:t>
      </w:r>
      <w:r w:rsidRPr="00226305">
        <w:rPr>
          <w:rFonts w:ascii="Times New Roman" w:hAnsi="Times New Roman" w:cs="Times New Roman" w:hint="eastAsia"/>
          <w:noProof/>
          <w:sz w:val="28"/>
          <w:szCs w:val="28"/>
        </w:rPr>
        <w:t xml:space="preserve"> region of six QTL</w:t>
      </w:r>
      <w:r w:rsidRPr="00226305">
        <w:rPr>
          <w:rFonts w:ascii="Times New Roman" w:hAnsi="Times New Roman" w:cs="Times New Roman"/>
          <w:noProof/>
          <w:sz w:val="28"/>
          <w:szCs w:val="28"/>
        </w:rPr>
        <w:t>s identified in this study</w:t>
      </w:r>
    </w:p>
    <w:tbl>
      <w:tblPr>
        <w:tblW w:w="10318" w:type="dxa"/>
        <w:tblInd w:w="-442" w:type="dxa"/>
        <w:tblLook w:val="04A0" w:firstRow="1" w:lastRow="0" w:firstColumn="1" w:lastColumn="0" w:noHBand="0" w:noVBand="1"/>
      </w:tblPr>
      <w:tblGrid>
        <w:gridCol w:w="1720"/>
        <w:gridCol w:w="4220"/>
        <w:gridCol w:w="4378"/>
      </w:tblGrid>
      <w:tr w:rsidR="00175C3A" w:rsidRPr="00226305" w14:paraId="23AC9898" w14:textId="77777777" w:rsidTr="00A23660">
        <w:trPr>
          <w:trHeight w:val="288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0B81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Gene model 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36B2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Gene Location</w:t>
            </w:r>
          </w:p>
        </w:tc>
        <w:tc>
          <w:tcPr>
            <w:tcW w:w="4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2895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Annotation</w:t>
            </w:r>
          </w:p>
        </w:tc>
      </w:tr>
      <w:tr w:rsidR="00175C3A" w:rsidRPr="00226305" w14:paraId="7D691A85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BC1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Arahy.LFE0TK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E81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Arahy.03:5688642-5697084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2DE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140AE1C2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64C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Arahy.25H20J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789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Arahy.03:5707178-5707681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1A1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TIR-NBS-LRR</w:t>
            </w:r>
          </w:p>
        </w:tc>
      </w:tr>
      <w:tr w:rsidR="00175C3A" w:rsidRPr="00226305" w14:paraId="1A45AF66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925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Arahy.FHP2K2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E1C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Arahy.03:5719557-5720120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4E0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Disease resistance-responsive protein</w:t>
            </w:r>
          </w:p>
        </w:tc>
      </w:tr>
      <w:tr w:rsidR="00175C3A" w:rsidRPr="00226305" w14:paraId="19D1681E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A6C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Arahy.PQJ7DP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3DF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Arahy.03:5791188-5792666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E0C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MYB transcription factor</w:t>
            </w:r>
          </w:p>
        </w:tc>
      </w:tr>
      <w:tr w:rsidR="00175C3A" w:rsidRPr="00226305" w14:paraId="4FA051CC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011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Arahy.00XS3D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BAE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Arahy.05:7862831-7866802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3C6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Ethylene-responsive transcription factor 3</w:t>
            </w:r>
          </w:p>
        </w:tc>
      </w:tr>
      <w:tr w:rsidR="00175C3A" w:rsidRPr="00226305" w14:paraId="6F7AF9BA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EE2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Arahy.S3U17M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2F5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Arahy.05:8182461-8184440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59B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MYB family transcription factor</w:t>
            </w:r>
          </w:p>
        </w:tc>
      </w:tr>
      <w:tr w:rsidR="00175C3A" w:rsidRPr="00226305" w14:paraId="4C61D9AC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479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Arahy.90DV49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187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Arahy.05:8258615-8262245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5D7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Transcription factor SPATULA-like(</w:t>
            </w: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bHLH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175C3A" w:rsidRPr="00226305" w14:paraId="1A151957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6D9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Arahy.IY6P5S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B02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Arahy.05:8314264-8318032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574D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Protein kinase superfamily protein</w:t>
            </w:r>
          </w:p>
        </w:tc>
      </w:tr>
      <w:tr w:rsidR="00175C3A" w:rsidRPr="00226305" w14:paraId="4A67D749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D57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Arahy.DIZB8V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9B7A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Arahy.13:43668419-43670419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9D72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Ethylene-responsive transcription factor 3</w:t>
            </w:r>
          </w:p>
        </w:tc>
      </w:tr>
      <w:tr w:rsidR="00175C3A" w:rsidRPr="00226305" w14:paraId="1045F869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E031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Arahy.0E1GBK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750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Arahy.13:44877348-44878744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03A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ZIP zinc/iron transport family protein</w:t>
            </w:r>
          </w:p>
        </w:tc>
      </w:tr>
      <w:tr w:rsidR="00175C3A" w:rsidRPr="00226305" w14:paraId="7F43C2B0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8659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Arahy.8JT992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E9A3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Arahy.13:45354167-45355323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DBD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MYB transcription factor</w:t>
            </w:r>
          </w:p>
        </w:tc>
      </w:tr>
      <w:tr w:rsidR="00175C3A" w:rsidRPr="00226305" w14:paraId="2996BC12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E17B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Arahy.2NFP2H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1C28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Arahy.19:157562932-157564981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D04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Heat shock transcription factor A2</w:t>
            </w:r>
          </w:p>
        </w:tc>
      </w:tr>
      <w:tr w:rsidR="00175C3A" w:rsidRPr="00226305" w14:paraId="63BC4F4D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BB7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Arahy.5KF5UG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44D4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Arahy.19:157602650-157604922 (-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643C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bZIP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transcription factor family protein</w:t>
            </w:r>
          </w:p>
        </w:tc>
      </w:tr>
      <w:tr w:rsidR="00175C3A" w:rsidRPr="00226305" w14:paraId="26BF479E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206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Arahy.ZMEP2D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EAAE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Arahy.16:121662983-121668124 (+ strand)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F830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HSP20-like chaperones superfamily protein</w:t>
            </w:r>
          </w:p>
        </w:tc>
      </w:tr>
      <w:tr w:rsidR="00175C3A" w:rsidRPr="00226305" w14:paraId="6CA9B2B3" w14:textId="77777777" w:rsidTr="00A23660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B4DBF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Arahy.NC1Z37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24797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Arahy.17:26845330-26857334 (- strand)</w:t>
            </w:r>
          </w:p>
        </w:tc>
        <w:tc>
          <w:tcPr>
            <w:tcW w:w="4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15655" w14:textId="77777777" w:rsidR="00175C3A" w:rsidRPr="00226305" w:rsidRDefault="00175C3A" w:rsidP="00A23660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bZIP</w:t>
            </w:r>
            <w:proofErr w:type="spellEnd"/>
            <w:r w:rsidRPr="00226305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transcription factor family protein</w:t>
            </w:r>
          </w:p>
        </w:tc>
      </w:tr>
    </w:tbl>
    <w:p w14:paraId="64F21D6D" w14:textId="77777777" w:rsidR="00175C3A" w:rsidRDefault="00175C3A">
      <w:bookmarkStart w:id="0" w:name="_GoBack"/>
      <w:bookmarkEnd w:id="0"/>
    </w:p>
    <w:sectPr w:rsidR="00175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C3A"/>
    <w:rsid w:val="0017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3A845"/>
  <w15:chartTrackingRefBased/>
  <w15:docId w15:val="{B84AA276-93DF-4C54-9D20-61E192049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C3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917</Words>
  <Characters>5230</Characters>
  <Application>Microsoft Office Word</Application>
  <DocSecurity>0</DocSecurity>
  <Lines>43</Lines>
  <Paragraphs>12</Paragraphs>
  <ScaleCrop>false</ScaleCrop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2020-02-20T13:07:00Z</dcterms:created>
  <dcterms:modified xsi:type="dcterms:W3CDTF">2020-02-20T13:07:00Z</dcterms:modified>
</cp:coreProperties>
</file>